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0" w:type="dxa"/>
        <w:tblCellMar>
          <w:left w:w="0" w:type="dxa"/>
          <w:right w:w="0" w:type="dxa"/>
        </w:tblCellMar>
        <w:tblLook w:val="04A0"/>
      </w:tblPr>
      <w:tblGrid>
        <w:gridCol w:w="7475"/>
      </w:tblGrid>
      <w:tr w:rsidR="00F4037C" w:rsidRPr="00F4037C">
        <w:trPr>
          <w:trHeight w:val="450"/>
          <w:tblCellSpacing w:w="0" w:type="dxa"/>
          <w:jc w:val="center"/>
        </w:trPr>
        <w:tc>
          <w:tcPr>
            <w:tcW w:w="0" w:type="auto"/>
            <w:vAlign w:val="center"/>
            <w:hideMark/>
          </w:tcPr>
          <w:p w:rsidR="00F4037C" w:rsidRPr="00F4037C" w:rsidRDefault="00F4037C" w:rsidP="00F4037C">
            <w:pPr>
              <w:widowControl/>
              <w:spacing w:line="330" w:lineRule="atLeast"/>
              <w:jc w:val="center"/>
              <w:rPr>
                <w:rFonts w:ascii="Arial" w:eastAsia="宋体" w:hAnsi="Arial" w:cs="Arial"/>
                <w:b/>
                <w:bCs/>
                <w:color w:val="0053B1"/>
                <w:kern w:val="0"/>
                <w:sz w:val="27"/>
                <w:szCs w:val="27"/>
              </w:rPr>
            </w:pPr>
            <w:r w:rsidRPr="00F4037C">
              <w:rPr>
                <w:rFonts w:ascii="Arial" w:eastAsia="宋体" w:hAnsi="Arial" w:cs="Arial"/>
                <w:b/>
                <w:bCs/>
                <w:color w:val="0053B1"/>
                <w:kern w:val="0"/>
                <w:sz w:val="27"/>
                <w:szCs w:val="27"/>
              </w:rPr>
              <w:t>关于《消费税有关政策问题的公告》的解读</w:t>
            </w:r>
          </w:p>
        </w:tc>
      </w:tr>
      <w:tr w:rsidR="00F4037C" w:rsidRPr="00F4037C">
        <w:trPr>
          <w:trHeight w:val="450"/>
          <w:tblCellSpacing w:w="0" w:type="dxa"/>
          <w:jc w:val="center"/>
        </w:trPr>
        <w:tc>
          <w:tcPr>
            <w:tcW w:w="0" w:type="auto"/>
            <w:vAlign w:val="center"/>
            <w:hideMark/>
          </w:tcPr>
          <w:p w:rsidR="00F4037C" w:rsidRPr="00F4037C" w:rsidRDefault="00F4037C" w:rsidP="00F4037C">
            <w:pPr>
              <w:widowControl/>
              <w:spacing w:line="330" w:lineRule="atLeast"/>
              <w:jc w:val="center"/>
              <w:rPr>
                <w:rFonts w:ascii="Arial" w:eastAsia="宋体" w:hAnsi="Arial" w:cs="Arial"/>
                <w:color w:val="0053B1"/>
                <w:kern w:val="0"/>
                <w:szCs w:val="21"/>
              </w:rPr>
            </w:pPr>
          </w:p>
        </w:tc>
      </w:tr>
      <w:tr w:rsidR="00F4037C" w:rsidRPr="00F4037C">
        <w:trPr>
          <w:trHeight w:val="750"/>
          <w:tblCellSpacing w:w="0" w:type="dxa"/>
          <w:jc w:val="center"/>
        </w:trPr>
        <w:tc>
          <w:tcPr>
            <w:tcW w:w="0" w:type="auto"/>
            <w:vAlign w:val="center"/>
            <w:hideMark/>
          </w:tcPr>
          <w:tbl>
            <w:tblPr>
              <w:tblW w:w="2500" w:type="pct"/>
              <w:jc w:val="center"/>
              <w:tblCellSpacing w:w="0" w:type="dxa"/>
              <w:tblCellMar>
                <w:left w:w="0" w:type="dxa"/>
                <w:right w:w="0" w:type="dxa"/>
              </w:tblCellMar>
              <w:tblLook w:val="04A0"/>
            </w:tblPr>
            <w:tblGrid>
              <w:gridCol w:w="1793"/>
              <w:gridCol w:w="180"/>
              <w:gridCol w:w="1585"/>
              <w:gridCol w:w="180"/>
            </w:tblGrid>
            <w:tr w:rsidR="00F4037C" w:rsidRPr="00F4037C">
              <w:trPr>
                <w:tblCellSpacing w:w="0" w:type="dxa"/>
                <w:jc w:val="center"/>
              </w:trPr>
              <w:tc>
                <w:tcPr>
                  <w:tcW w:w="0" w:type="auto"/>
                  <w:vAlign w:val="center"/>
                  <w:hideMark/>
                </w:tcPr>
                <w:p w:rsidR="00F4037C" w:rsidRPr="00F4037C" w:rsidRDefault="00F4037C" w:rsidP="00F4037C">
                  <w:pPr>
                    <w:widowControl/>
                    <w:jc w:val="left"/>
                    <w:rPr>
                      <w:rFonts w:ascii="Arial" w:eastAsia="宋体" w:hAnsi="Arial" w:cs="Arial"/>
                      <w:color w:val="09548B"/>
                      <w:kern w:val="0"/>
                      <w:sz w:val="18"/>
                      <w:szCs w:val="18"/>
                    </w:rPr>
                  </w:pPr>
                  <w:r w:rsidRPr="00F4037C">
                    <w:rPr>
                      <w:rFonts w:ascii="Arial" w:eastAsia="宋体" w:hAnsi="Arial" w:cs="Arial"/>
                      <w:color w:val="09548B"/>
                      <w:kern w:val="0"/>
                      <w:sz w:val="18"/>
                      <w:szCs w:val="18"/>
                    </w:rPr>
                    <w:t>【发布日期】：</w:t>
                  </w:r>
                  <w:r w:rsidRPr="00F4037C">
                    <w:rPr>
                      <w:rFonts w:ascii="Arial" w:eastAsia="宋体" w:hAnsi="Arial" w:cs="Arial"/>
                      <w:color w:val="09548B"/>
                      <w:kern w:val="0"/>
                      <w:sz w:val="18"/>
                      <w:szCs w:val="18"/>
                    </w:rPr>
                    <w:t xml:space="preserve"> 2012</w:t>
                  </w:r>
                  <w:r w:rsidRPr="00F4037C">
                    <w:rPr>
                      <w:rFonts w:ascii="Arial" w:eastAsia="宋体" w:hAnsi="Arial" w:cs="Arial"/>
                      <w:color w:val="09548B"/>
                      <w:kern w:val="0"/>
                      <w:sz w:val="18"/>
                      <w:szCs w:val="18"/>
                    </w:rPr>
                    <w:t>年</w:t>
                  </w:r>
                  <w:r w:rsidRPr="00F4037C">
                    <w:rPr>
                      <w:rFonts w:ascii="Arial" w:eastAsia="宋体" w:hAnsi="Arial" w:cs="Arial"/>
                      <w:color w:val="09548B"/>
                      <w:kern w:val="0"/>
                      <w:sz w:val="18"/>
                      <w:szCs w:val="18"/>
                    </w:rPr>
                    <w:t>11</w:t>
                  </w:r>
                  <w:r w:rsidRPr="00F4037C">
                    <w:rPr>
                      <w:rFonts w:ascii="Arial" w:eastAsia="宋体" w:hAnsi="Arial" w:cs="Arial"/>
                      <w:color w:val="09548B"/>
                      <w:kern w:val="0"/>
                      <w:sz w:val="18"/>
                      <w:szCs w:val="18"/>
                    </w:rPr>
                    <w:t>月</w:t>
                  </w:r>
                  <w:r w:rsidRPr="00F4037C">
                    <w:rPr>
                      <w:rFonts w:ascii="Arial" w:eastAsia="宋体" w:hAnsi="Arial" w:cs="Arial"/>
                      <w:color w:val="09548B"/>
                      <w:kern w:val="0"/>
                      <w:sz w:val="18"/>
                      <w:szCs w:val="18"/>
                    </w:rPr>
                    <w:t>15</w:t>
                  </w:r>
                  <w:r w:rsidRPr="00F4037C">
                    <w:rPr>
                      <w:rFonts w:ascii="Arial" w:eastAsia="宋体" w:hAnsi="Arial" w:cs="Arial"/>
                      <w:color w:val="09548B"/>
                      <w:kern w:val="0"/>
                      <w:sz w:val="18"/>
                      <w:szCs w:val="18"/>
                    </w:rPr>
                    <w:t>日</w:t>
                  </w:r>
                </w:p>
              </w:tc>
              <w:tc>
                <w:tcPr>
                  <w:tcW w:w="0" w:type="auto"/>
                  <w:vAlign w:val="center"/>
                  <w:hideMark/>
                </w:tcPr>
                <w:p w:rsidR="00F4037C" w:rsidRPr="00F4037C" w:rsidRDefault="00F4037C" w:rsidP="00F4037C">
                  <w:pPr>
                    <w:widowControl/>
                    <w:jc w:val="left"/>
                    <w:rPr>
                      <w:rFonts w:ascii="宋体" w:eastAsia="宋体" w:hAnsi="宋体" w:cs="宋体"/>
                      <w:color w:val="000000"/>
                      <w:kern w:val="0"/>
                      <w:sz w:val="18"/>
                      <w:szCs w:val="18"/>
                    </w:rPr>
                  </w:pPr>
                  <w:r w:rsidRPr="00F4037C">
                    <w:rPr>
                      <w:rFonts w:ascii="宋体" w:eastAsia="宋体" w:hAnsi="宋体" w:cs="宋体" w:hint="eastAsia"/>
                      <w:color w:val="000000"/>
                      <w:kern w:val="0"/>
                      <w:sz w:val="18"/>
                      <w:szCs w:val="18"/>
                    </w:rPr>
                    <w:t> </w:t>
                  </w:r>
                </w:p>
              </w:tc>
              <w:tc>
                <w:tcPr>
                  <w:tcW w:w="0" w:type="auto"/>
                  <w:vAlign w:val="center"/>
                  <w:hideMark/>
                </w:tcPr>
                <w:p w:rsidR="00F4037C" w:rsidRPr="00F4037C" w:rsidRDefault="00F4037C" w:rsidP="00F4037C">
                  <w:pPr>
                    <w:widowControl/>
                    <w:jc w:val="left"/>
                    <w:rPr>
                      <w:rFonts w:ascii="Arial" w:eastAsia="宋体" w:hAnsi="Arial" w:cs="Arial"/>
                      <w:color w:val="09548B"/>
                      <w:kern w:val="0"/>
                      <w:sz w:val="18"/>
                      <w:szCs w:val="18"/>
                    </w:rPr>
                  </w:pPr>
                  <w:r w:rsidRPr="00F4037C">
                    <w:rPr>
                      <w:rFonts w:ascii="Arial" w:eastAsia="宋体" w:hAnsi="Arial" w:cs="Arial"/>
                      <w:color w:val="09548B"/>
                      <w:kern w:val="0"/>
                      <w:sz w:val="18"/>
                      <w:szCs w:val="18"/>
                    </w:rPr>
                    <w:t>【来源】：国家税务总局办公厅</w:t>
                  </w:r>
                </w:p>
              </w:tc>
              <w:tc>
                <w:tcPr>
                  <w:tcW w:w="0" w:type="auto"/>
                  <w:vAlign w:val="center"/>
                  <w:hideMark/>
                </w:tcPr>
                <w:p w:rsidR="00F4037C" w:rsidRPr="00F4037C" w:rsidRDefault="00F4037C" w:rsidP="00F4037C">
                  <w:pPr>
                    <w:widowControl/>
                    <w:jc w:val="left"/>
                    <w:rPr>
                      <w:rFonts w:ascii="宋体" w:eastAsia="宋体" w:hAnsi="宋体" w:cs="宋体"/>
                      <w:color w:val="000000"/>
                      <w:kern w:val="0"/>
                      <w:sz w:val="18"/>
                      <w:szCs w:val="18"/>
                    </w:rPr>
                  </w:pPr>
                  <w:r w:rsidRPr="00F4037C">
                    <w:rPr>
                      <w:rFonts w:ascii="宋体" w:eastAsia="宋体" w:hAnsi="宋体" w:cs="宋体" w:hint="eastAsia"/>
                      <w:color w:val="000000"/>
                      <w:kern w:val="0"/>
                      <w:sz w:val="18"/>
                      <w:szCs w:val="18"/>
                    </w:rPr>
                    <w:t> </w:t>
                  </w:r>
                </w:p>
              </w:tc>
            </w:tr>
          </w:tbl>
          <w:p w:rsidR="00F4037C" w:rsidRPr="00F4037C" w:rsidRDefault="00F4037C" w:rsidP="00F4037C">
            <w:pPr>
              <w:widowControl/>
              <w:jc w:val="left"/>
              <w:rPr>
                <w:rFonts w:ascii="宋体" w:eastAsia="宋体" w:hAnsi="宋体" w:cs="宋体"/>
                <w:color w:val="000000"/>
                <w:kern w:val="0"/>
                <w:sz w:val="18"/>
                <w:szCs w:val="18"/>
              </w:rPr>
            </w:pPr>
          </w:p>
        </w:tc>
      </w:tr>
      <w:tr w:rsidR="00F4037C" w:rsidRPr="00F4037C">
        <w:trPr>
          <w:tblCellSpacing w:w="0" w:type="dxa"/>
          <w:jc w:val="center"/>
        </w:trPr>
        <w:tc>
          <w:tcPr>
            <w:tcW w:w="0" w:type="auto"/>
            <w:vAlign w:val="center"/>
            <w:hideMark/>
          </w:tcPr>
          <w:tbl>
            <w:tblPr>
              <w:tblW w:w="4650" w:type="pct"/>
              <w:jc w:val="center"/>
              <w:tblCellSpacing w:w="0" w:type="dxa"/>
              <w:tblCellMar>
                <w:left w:w="0" w:type="dxa"/>
                <w:right w:w="0" w:type="dxa"/>
              </w:tblCellMar>
              <w:tblLook w:val="04A0"/>
            </w:tblPr>
            <w:tblGrid>
              <w:gridCol w:w="6952"/>
            </w:tblGrid>
            <w:tr w:rsidR="00F4037C" w:rsidRPr="00F4037C">
              <w:trPr>
                <w:tblCellSpacing w:w="0" w:type="dxa"/>
                <w:jc w:val="center"/>
              </w:trPr>
              <w:tc>
                <w:tcPr>
                  <w:tcW w:w="0" w:type="auto"/>
                  <w:vAlign w:val="center"/>
                  <w:hideMark/>
                </w:tcPr>
                <w:p w:rsidR="00F4037C" w:rsidRPr="00F4037C" w:rsidRDefault="00F4037C" w:rsidP="00F4037C">
                  <w:pPr>
                    <w:widowControl/>
                    <w:jc w:val="right"/>
                    <w:rPr>
                      <w:rFonts w:ascii="宋体" w:eastAsia="宋体" w:hAnsi="宋体" w:cs="宋体"/>
                      <w:color w:val="000000"/>
                      <w:kern w:val="0"/>
                      <w:sz w:val="18"/>
                      <w:szCs w:val="18"/>
                    </w:rPr>
                  </w:pPr>
                  <w:r w:rsidRPr="00F4037C">
                    <w:rPr>
                      <w:rFonts w:ascii="宋体" w:eastAsia="宋体" w:hAnsi="宋体" w:cs="宋体" w:hint="eastAsia"/>
                      <w:color w:val="000000"/>
                      <w:kern w:val="0"/>
                      <w:sz w:val="18"/>
                      <w:szCs w:val="18"/>
                    </w:rPr>
                    <w:t>字体：【</w:t>
                  </w:r>
                  <w:hyperlink r:id="rId6" w:history="1">
                    <w:r w:rsidRPr="00F4037C">
                      <w:rPr>
                        <w:rFonts w:ascii="宋体" w:eastAsia="宋体" w:hAnsi="宋体" w:cs="宋体" w:hint="eastAsia"/>
                        <w:color w:val="000000"/>
                        <w:kern w:val="0"/>
                        <w:sz w:val="18"/>
                      </w:rPr>
                      <w:t>大</w:t>
                    </w:r>
                  </w:hyperlink>
                  <w:r w:rsidRPr="00F4037C">
                    <w:rPr>
                      <w:rFonts w:ascii="宋体" w:eastAsia="宋体" w:hAnsi="宋体" w:cs="宋体" w:hint="eastAsia"/>
                      <w:color w:val="000000"/>
                      <w:kern w:val="0"/>
                      <w:sz w:val="18"/>
                      <w:szCs w:val="18"/>
                    </w:rPr>
                    <w:t>】【</w:t>
                  </w:r>
                  <w:hyperlink r:id="rId7" w:history="1">
                    <w:r w:rsidRPr="00F4037C">
                      <w:rPr>
                        <w:rFonts w:ascii="宋体" w:eastAsia="宋体" w:hAnsi="宋体" w:cs="宋体" w:hint="eastAsia"/>
                        <w:color w:val="000000"/>
                        <w:kern w:val="0"/>
                        <w:sz w:val="18"/>
                      </w:rPr>
                      <w:t>中</w:t>
                    </w:r>
                  </w:hyperlink>
                  <w:r w:rsidRPr="00F4037C">
                    <w:rPr>
                      <w:rFonts w:ascii="宋体" w:eastAsia="宋体" w:hAnsi="宋体" w:cs="宋体" w:hint="eastAsia"/>
                      <w:color w:val="000000"/>
                      <w:kern w:val="0"/>
                      <w:sz w:val="18"/>
                      <w:szCs w:val="18"/>
                    </w:rPr>
                    <w:t>】【</w:t>
                  </w:r>
                  <w:hyperlink r:id="rId8" w:history="1">
                    <w:r w:rsidRPr="00F4037C">
                      <w:rPr>
                        <w:rFonts w:ascii="宋体" w:eastAsia="宋体" w:hAnsi="宋体" w:cs="宋体" w:hint="eastAsia"/>
                        <w:color w:val="000000"/>
                        <w:kern w:val="0"/>
                        <w:sz w:val="18"/>
                      </w:rPr>
                      <w:t>小</w:t>
                    </w:r>
                  </w:hyperlink>
                  <w:r w:rsidRPr="00F4037C">
                    <w:rPr>
                      <w:rFonts w:ascii="宋体" w:eastAsia="宋体" w:hAnsi="宋体" w:cs="宋体" w:hint="eastAsia"/>
                      <w:color w:val="000000"/>
                      <w:kern w:val="0"/>
                      <w:sz w:val="18"/>
                      <w:szCs w:val="18"/>
                    </w:rPr>
                    <w:t>】</w:t>
                  </w:r>
                </w:p>
              </w:tc>
            </w:tr>
          </w:tbl>
          <w:p w:rsidR="00F4037C" w:rsidRPr="00F4037C" w:rsidRDefault="00F4037C" w:rsidP="00F4037C">
            <w:pPr>
              <w:widowControl/>
              <w:jc w:val="left"/>
              <w:rPr>
                <w:rFonts w:ascii="宋体" w:eastAsia="宋体" w:hAnsi="宋体" w:cs="宋体"/>
                <w:color w:val="000000"/>
                <w:kern w:val="0"/>
                <w:sz w:val="18"/>
                <w:szCs w:val="18"/>
              </w:rPr>
            </w:pPr>
          </w:p>
        </w:tc>
      </w:tr>
      <w:tr w:rsidR="00F4037C" w:rsidRPr="00F4037C">
        <w:trPr>
          <w:tblCellSpacing w:w="0" w:type="dxa"/>
          <w:jc w:val="center"/>
        </w:trPr>
        <w:tc>
          <w:tcPr>
            <w:tcW w:w="0" w:type="auto"/>
            <w:tcMar>
              <w:top w:w="300" w:type="dxa"/>
              <w:left w:w="0" w:type="dxa"/>
              <w:bottom w:w="0" w:type="dxa"/>
              <w:right w:w="0" w:type="dxa"/>
            </w:tcMar>
            <w:vAlign w:val="center"/>
            <w:hideMark/>
          </w:tcPr>
          <w:tbl>
            <w:tblPr>
              <w:tblW w:w="4650" w:type="pct"/>
              <w:jc w:val="center"/>
              <w:tblCellSpacing w:w="0" w:type="dxa"/>
              <w:tblCellMar>
                <w:left w:w="0" w:type="dxa"/>
                <w:right w:w="0" w:type="dxa"/>
              </w:tblCellMar>
              <w:tblLook w:val="04A0"/>
            </w:tblPr>
            <w:tblGrid>
              <w:gridCol w:w="6952"/>
            </w:tblGrid>
            <w:tr w:rsidR="00F4037C" w:rsidRPr="00F4037C">
              <w:trPr>
                <w:tblCellSpacing w:w="0" w:type="dxa"/>
                <w:jc w:val="center"/>
              </w:trPr>
              <w:tc>
                <w:tcPr>
                  <w:tcW w:w="0" w:type="auto"/>
                  <w:tcMar>
                    <w:top w:w="0" w:type="dxa"/>
                    <w:left w:w="0" w:type="dxa"/>
                    <w:bottom w:w="300" w:type="dxa"/>
                    <w:right w:w="0" w:type="dxa"/>
                  </w:tcMar>
                  <w:vAlign w:val="center"/>
                  <w:hideMark/>
                </w:tcPr>
                <w:p w:rsidR="00F4037C" w:rsidRPr="00F4037C" w:rsidRDefault="00F4037C" w:rsidP="00F4037C">
                  <w:pPr>
                    <w:widowControl/>
                    <w:spacing w:before="100" w:beforeAutospacing="1" w:after="100" w:afterAutospacing="1" w:line="360" w:lineRule="atLeast"/>
                    <w:jc w:val="left"/>
                    <w:rPr>
                      <w:rFonts w:ascii="宋体" w:eastAsia="宋体" w:hAnsi="宋体" w:cs="宋体"/>
                      <w:color w:val="000000"/>
                      <w:kern w:val="0"/>
                      <w:szCs w:val="21"/>
                    </w:rPr>
                  </w:pPr>
                  <w:r w:rsidRPr="00F4037C">
                    <w:rPr>
                      <w:rFonts w:ascii="宋体" w:eastAsia="宋体" w:hAnsi="宋体" w:cs="宋体" w:hint="eastAsia"/>
                      <w:color w:val="000000"/>
                      <w:kern w:val="0"/>
                      <w:szCs w:val="21"/>
                    </w:rPr>
                    <w:t xml:space="preserve">　　一、制定本公告的目的</w:t>
                  </w:r>
                  <w:r w:rsidRPr="00F4037C">
                    <w:rPr>
                      <w:rFonts w:ascii="宋体" w:eastAsia="宋体" w:hAnsi="宋体" w:cs="宋体" w:hint="eastAsia"/>
                      <w:color w:val="000000"/>
                      <w:kern w:val="0"/>
                      <w:szCs w:val="21"/>
                    </w:rPr>
                    <w:br/>
                    <w:t xml:space="preserve">　　2008年国家实施了燃油税费改革，随着改革工作不断深入，税务机关在贯彻落实各项税收政策、强化税收管理的过程中，发现一些石油炼化企业将属于应征消费税的油品采取变换名称的方式，以化工产品的名义对外销售。一些商贸企业购进非应税产品后再采取变名的方式转换成应税产品销售。如此以来，石油炼化生产企业不但逃避了生产环节的消费税，而且下游的成品油生产企业购进这些油品，在未负担消费税的情况下还多抵扣了消费税，造成国家税款双重损失。为此，税务总局经过反复调查研究，通过了解石油化工行业的生产工艺，以及对相关案例进行深入剖析，有针对性地提出了应对措施。</w:t>
                  </w:r>
                  <w:r w:rsidRPr="00F4037C">
                    <w:rPr>
                      <w:rFonts w:ascii="宋体" w:eastAsia="宋体" w:hAnsi="宋体" w:cs="宋体" w:hint="eastAsia"/>
                      <w:color w:val="000000"/>
                      <w:kern w:val="0"/>
                      <w:szCs w:val="21"/>
                    </w:rPr>
                    <w:br/>
                    <w:t xml:space="preserve">　　二、如何划分炼化生产企业以原油或其他原料生产的在常温常压下呈液态状的产品是否征收消费税？</w:t>
                  </w:r>
                  <w:r w:rsidRPr="00F4037C">
                    <w:rPr>
                      <w:rFonts w:ascii="宋体" w:eastAsia="宋体" w:hAnsi="宋体" w:cs="宋体" w:hint="eastAsia"/>
                      <w:color w:val="000000"/>
                      <w:kern w:val="0"/>
                      <w:szCs w:val="21"/>
                    </w:rPr>
                    <w:br/>
                    <w:t xml:space="preserve">　　（一）产品符合汽油、柴油、石脑油、溶剂油、航空煤油、润滑油和燃料油征收规定的，按相应的汽油、柴油、石脑油、溶剂油、航空煤油、润滑油和燃料油的规定征收消费税；</w:t>
                  </w:r>
                  <w:r w:rsidRPr="00F4037C">
                    <w:rPr>
                      <w:rFonts w:ascii="宋体" w:eastAsia="宋体" w:hAnsi="宋体" w:cs="宋体" w:hint="eastAsia"/>
                      <w:color w:val="000000"/>
                      <w:kern w:val="0"/>
                      <w:szCs w:val="21"/>
                    </w:rPr>
                    <w:br/>
                    <w:t xml:space="preserve">　　（二）其他产品，与国家标准或石油化工行业标准规定的化工产品名称、质量标准一致，且按照主管税务机关的要求将省级以上（含）技术监督部门出具的有关产品检验证明进行备案的，不征收消费税。否则，视同石脑油征收消费税。</w:t>
                  </w:r>
                  <w:r w:rsidRPr="00F4037C">
                    <w:rPr>
                      <w:rFonts w:ascii="宋体" w:eastAsia="宋体" w:hAnsi="宋体" w:cs="宋体" w:hint="eastAsia"/>
                      <w:color w:val="000000"/>
                      <w:kern w:val="0"/>
                      <w:szCs w:val="21"/>
                    </w:rPr>
                    <w:br/>
                    <w:t xml:space="preserve">　　三、为何单独规定沥青产品是否征税的划分原则？</w:t>
                  </w:r>
                  <w:r w:rsidRPr="00F4037C">
                    <w:rPr>
                      <w:rFonts w:ascii="宋体" w:eastAsia="宋体" w:hAnsi="宋体" w:cs="宋体" w:hint="eastAsia"/>
                      <w:color w:val="000000"/>
                      <w:kern w:val="0"/>
                      <w:szCs w:val="21"/>
                    </w:rPr>
                    <w:br/>
                    <w:t xml:space="preserve">　　石油沥青与属于燃料油征税范围的渣油在形态上非常相似，在常温常压下，既有液态的还有固态、半固态的。如果仅强调对液态状的产品划分是否征税，就无法涵盖呈固态、半固态的渣油。因此，需要单独规定沥青产品的划分原则。</w:t>
                  </w:r>
                  <w:r w:rsidRPr="00F4037C">
                    <w:rPr>
                      <w:rFonts w:ascii="宋体" w:eastAsia="宋体" w:hAnsi="宋体" w:cs="宋体" w:hint="eastAsia"/>
                      <w:color w:val="000000"/>
                      <w:kern w:val="0"/>
                      <w:szCs w:val="21"/>
                    </w:rPr>
                    <w:br/>
                    <w:t xml:space="preserve">　　四、非工业企业是否为消费税纳税人？</w:t>
                  </w:r>
                  <w:r w:rsidRPr="00F4037C">
                    <w:rPr>
                      <w:rFonts w:ascii="宋体" w:eastAsia="宋体" w:hAnsi="宋体" w:cs="宋体" w:hint="eastAsia"/>
                      <w:color w:val="000000"/>
                      <w:kern w:val="0"/>
                      <w:szCs w:val="21"/>
                    </w:rPr>
                    <w:br/>
                    <w:t xml:space="preserve">　　《中华人民共和国消费税暂行条例》第一条规定：在中华人民共和国境内生产、委托加工和进口本条例规定的消费税的单位和个人，以及国务院确定的销售本条例规定的消费税的其他单位和个人，为消费税的纳税人。《中华人民共和国消费税暂行条例实施细则》第二条规定：条例第一条所称单位，是指企业、行政单位、事业单位、军事单位、社会团体及其他单位。因此，发生消费税应税行为的非工业企业应为消费税纳税人。</w:t>
                  </w:r>
                </w:p>
              </w:tc>
            </w:tr>
          </w:tbl>
          <w:p w:rsidR="00F4037C" w:rsidRPr="00F4037C" w:rsidRDefault="00F4037C" w:rsidP="00F4037C">
            <w:pPr>
              <w:widowControl/>
              <w:jc w:val="left"/>
              <w:rPr>
                <w:rFonts w:ascii="宋体" w:eastAsia="宋体" w:hAnsi="宋体" w:cs="宋体"/>
                <w:color w:val="000000"/>
                <w:kern w:val="0"/>
                <w:sz w:val="18"/>
                <w:szCs w:val="18"/>
              </w:rPr>
            </w:pPr>
          </w:p>
        </w:tc>
      </w:tr>
    </w:tbl>
    <w:p w:rsidR="00267CA3" w:rsidRDefault="00267CA3"/>
    <w:sectPr w:rsidR="00267C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CA3" w:rsidRDefault="00267CA3" w:rsidP="00F4037C">
      <w:r>
        <w:separator/>
      </w:r>
    </w:p>
  </w:endnote>
  <w:endnote w:type="continuationSeparator" w:id="1">
    <w:p w:rsidR="00267CA3" w:rsidRDefault="00267CA3" w:rsidP="00F403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CA3" w:rsidRDefault="00267CA3" w:rsidP="00F4037C">
      <w:r>
        <w:separator/>
      </w:r>
    </w:p>
  </w:footnote>
  <w:footnote w:type="continuationSeparator" w:id="1">
    <w:p w:rsidR="00267CA3" w:rsidRDefault="00267CA3" w:rsidP="00F403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037C"/>
    <w:rsid w:val="00267CA3"/>
    <w:rsid w:val="00F403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03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037C"/>
    <w:rPr>
      <w:sz w:val="18"/>
      <w:szCs w:val="18"/>
    </w:rPr>
  </w:style>
  <w:style w:type="paragraph" w:styleId="a4">
    <w:name w:val="footer"/>
    <w:basedOn w:val="a"/>
    <w:link w:val="Char0"/>
    <w:uiPriority w:val="99"/>
    <w:semiHidden/>
    <w:unhideWhenUsed/>
    <w:rsid w:val="00F4037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037C"/>
    <w:rPr>
      <w:sz w:val="18"/>
      <w:szCs w:val="18"/>
    </w:rPr>
  </w:style>
  <w:style w:type="character" w:styleId="a5">
    <w:name w:val="Hyperlink"/>
    <w:basedOn w:val="a0"/>
    <w:uiPriority w:val="99"/>
    <w:semiHidden/>
    <w:unhideWhenUsed/>
    <w:rsid w:val="00F4037C"/>
    <w:rPr>
      <w:strike w:val="0"/>
      <w:dstrike w:val="0"/>
      <w:color w:val="333333"/>
      <w:sz w:val="18"/>
      <w:szCs w:val="18"/>
      <w:u w:val="none"/>
      <w:effect w:val="none"/>
    </w:rPr>
  </w:style>
  <w:style w:type="paragraph" w:styleId="a6">
    <w:name w:val="Normal (Web)"/>
    <w:basedOn w:val="a"/>
    <w:uiPriority w:val="99"/>
    <w:unhideWhenUsed/>
    <w:rsid w:val="00F4037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n8136506/n8136593/n8137537/n8138532/12150405.html" TargetMode="External"/><Relationship Id="rId3" Type="http://schemas.openxmlformats.org/officeDocument/2006/relationships/webSettings" Target="webSettings.xml"/><Relationship Id="rId7" Type="http://schemas.openxmlformats.org/officeDocument/2006/relationships/hyperlink" Target="http://www.chinatax.gov.cn/n8136506/n8136593/n8137537/n8138532/1215040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n8136506/n8136593/n8137537/n8138532/12150405.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1040</Characters>
  <Application>Microsoft Office Word</Application>
  <DocSecurity>0</DocSecurity>
  <Lines>8</Lines>
  <Paragraphs>2</Paragraphs>
  <ScaleCrop>false</ScaleCrop>
  <Company>China</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2012-11-19T01:30:00Z</dcterms:created>
  <dcterms:modified xsi:type="dcterms:W3CDTF">2012-11-19T01:31:00Z</dcterms:modified>
</cp:coreProperties>
</file>